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268</w:t>
      </w:r>
    </w:p>
    <w:p>
      <w:r>
        <w:t>Bundesgericht (BGE), 1971-01-28, DE</w:t>
      </w:r>
    </w:p>
    <w:p>
      <w:r>
        <w:rPr>
          <w:b/>
        </w:rPr>
        <w:t xml:space="preserve">Quelle: </w:t>
      </w:r>
      <w:r>
        <w:t>https://mcp.opencaselaw.ch/entscheid/bge_97 I 268</w:t>
      </w:r>
    </w:p>
    <w:p>
      <w:r>
        <w:t>FR: ATF 97 I 268</w:t>
      </w:r>
    </w:p>
    <w:p>
      <w:r>
        <w:t>IT: DTF 97 I 268</w:t>
      </w:r>
    </w:p>
    <w:p>
      <w:pPr>
        <w:pStyle w:val="Heading2"/>
      </w:pPr>
      <w:r>
        <w:t>Regeste</w:t>
      </w:r>
    </w:p>
    <w:p>
      <w:r>
        <w:t>Regeste Verwaltungsgerichtsbeschwerde; Grundbuchführung. 1. Die Bestimmungen des ZGB über das Grundbuchwesen sind öffentlichen Rechts im Sinne von Art. 5 VwG. Entscheide der kantonalen Aufsichtsbehörden in Grundbuchsachen sind daher auch nach der Fassung des OG vom 20. Dezember 1968 mit der Verwaltungsgerichtsbeschwerde beim Bundesgericht anfechtbar (Erw. 1). 2. Der vom Verkäufer zur Anmeldung des Eigentumsübergangs im Grundbuch ermächtigte Erwerber ist legitimiert, in eigenem Namen Verwaltungsgerichtsbeschwerde gegen eine seine Anmeldung abweisende Verfügung zu erheben (Erw. 2). 3. Weigert sich der Grundbuchverwalter zunächst, die Anmeldung entgegenzunehmen, weist er diese aber in einem späteren Zeitpunkt ab, so ist nicht die allgemeine Aufsichtsbeschwerde (Art. 104 GBV), sondern die spezielle, befristete Grundbuchbeschwerde (Art. 103 GBV) gegeben (Erw. 3). 4. Aus der Natur der dem Erwerber erteilten Vollmacht zur Anmeldung der Eigentumsübertragung lässt sich deren Weiterdauer nach dem Tode des Vollmachtgebers nicht ableiten (Erw. 4).</w:t>
      </w:r>
    </w:p>
    <w:p>
      <w:pPr>
        <w:pStyle w:val="Heading2"/>
      </w:pPr>
      <w:r>
        <w:t>Erwägungen</w:t>
      </w:r>
    </w:p>
    <w:p>
      <w:r>
        <w:rPr>
          <w:b/>
        </w:rPr>
        <w:t>E. 1</w:t>
      </w:r>
    </w:p>
    <w:p>
      <w:r>
        <w:t>Gemäss Art. 103 Abs. 1 und 4 der Grundbuchverordnung (GBV) ist gegen letztinstanzliche Entscheide kantonaler BGE 97 I 268 S. 271 Aufsichtsbehörden in Grundbuchsachen die Verwaltungsgerichtsbeschwerde an das Bundesgericht möglich, sofern die Anmeldung einer Eintragung abgewiesen wird. Das OG erwähnte diesen Beschwerdefall in seiner Fassung vom 16. Dezember 1943 denn auch ausdrücklich in Art. 99 I lit. c, währenddem es in seiner heutigen, seit dem 1. Oktober 1969 in Kraft stehenden Fassung eine solche Weiterzugsmöglichkeit nicht mehr besonders aufführt. Art. 97 Abs. 1 OG bezeichnet als Anfechtungsobjekt der Verwaltungsgerichtsbeschwerde lediglich Verfügungen im Sinne von Art. 5 des Bundesgesetzes über das Verwaltungsverfahren, d.h. Anordnungen von Behörden, die sich auf öffentliches Recht des Bundes stützen. Wollte man daraus ableiten, die Entscheide der Aufsichtsbehörden in Registersachen könnten nicht mehr mit der Verwaltungsgerichtsbeschwerde an das Bundesgericht weitergezogen werden, weil sie sich nicht auf öffentliches, sondern auf privates Recht des Bundes stützten, so würde damit im Vergleich zum früheren Recht eine klare Einschränkung der Verwaltungsrechtspflege durch das Bundesgericht herbeigeführt. Die Gesetzesnovelle vom 20. Dezember 1968 wollte aber grundsätzlich gerade das Gegenteil, nämlich einen Ausbau der Verwaltungsgerichtsbarkeit im Bunde, erreichen (vgl. Botschaft des Bundesrates an die Bundesversammlung BBl 1965 Bd. II S. 1265 ff.; BGE 96 I 410 Erw. 2 d). Zudem kann nicht gesagt werden, die Bestimmungen über das Grundbuchwesen stützten sich auf Bundesprivatrecht. Materiell regeln sie nämlich Bundesverwaltungsrecht, auch wenn sie im ZGB enthalten sind (vgl. BGE 96 I 409 Erw. 2 c und das nicht veröffentlichte Urteil des Bundesgerichts vom 12. November 1970 i.S. C., S. 4). Das Bundesgericht ist daher auch nach der heutigen Fassung des OG zur Beurteilung der vorliegenden Beschwerde zuständig.</w:t>
      </w:r>
    </w:p>
    <w:p>
      <w:r>
        <w:rPr>
          <w:b/>
        </w:rPr>
        <w:t>E. 2</w:t>
      </w:r>
    </w:p>
    <w:p>
      <w:r>
        <w:t>Der Beschwerdeführer berief sich bei der Anmeldung der Eintragung des Eigentumsübergangs im Grundbuch auf die ihm hiefür vom Eigentümer Singeisen im Kaufsrechtsvertrag erteilte Ermächtigung. Nachdem die Anmeldung abgewiesen worden war, erachtete er sich als legitimiert, in seinem eigenen Namen und nicht etwa als Vertreter der Eigentümerschaft Beschwerde zu erheben. Obwohl weder die Vorinstanzen noch die Beschwerdegegnerin die Legitimation des Dr. Marti zur Beschwerdeführung verneinten, hat das Bundesgericht von Amtes wegen zu prüfen, ob dieser berechtigt war, in seinem Namen eine Verwaltungsgerichtsbeschwerde einzureichen. BGE 97 I 268 S. 272 In einem nicht veröffentlichten Urteil vom 19. Oktober 1967 in Sachen S. und A. gegen Justizkommission des Obergerichts des Kantons Luzern hat das Bundesgericht die Legitimation des Grundstückerwerbers zur Beschwerdeführung gegen einen die Abweisung der Grundbuchanmeldung bestätigenden Entscheid verneint. Es hielt dafür, der Erwerber, welcher vom Verkäufer in der öffentlichen Urkunde zur Anmeldung des Eigentumsübergangs beim Grundbuchamt ermächtigt worden war, handle nicht kraft eigenen Rechtes, sondern als Stellvertreter des Verfügungsberechtigten; er könnte sich demzufolge gegen eine abweisende Verfügung nur im Namen und im Auftrag des Vollmachtgebers beschweren. Nach Art. 103 Abs. 1 GBV steht indessen das Recht zur Beschwerdeführung dem Anmeldenden zu. Dieser Wortlaut schliesst nicht aus, auch den sich auf eine Vollmacht des Verfügungsberechtigten stützenden Vertreter als beschwerdelegitimiert zu betrachten. Art. 103 OG bezeichnet in lit. a als zur Verwaltungsgerichtsbeschwerde berechtigt, wer durch die angefochtene Verfügung berührt ist und ein schutzwürdiges Interesse an deren Aufhebung oder Änderung hat. Die Beschwerdelegitimation ist damit recht weit gefasst. Dass der Beschwerdeführer Marti, dessen Anmeldung mangels genügender vollmacht abgewiesen wurde, im Sinne von Art. 103 lit. a OG durch die angefochtene Verfügung berührt ist, lässt sich nicht bestreiten. Er wird durch die Nichtanerkennung der Vollmacht in seiner Stellung als Vertreter getroffen und macht somit in erster Linie eigene Interessen geltend, wenn er sich gegen die Abweisung der von ihm abgegebenen Anmeldung zur Wehr setzt. Sein Interesse an der Anfechtung hat auch als schutzwürdig zu gelten, wenn berücksichtigt wird, was für ihn dabei auf dem Spiel steht. Auf die Beschwerde ist daher grundsätzlich einzutreten.</w:t>
      </w:r>
    </w:p>
    <w:p>
      <w:r>
        <w:rPr>
          <w:b/>
        </w:rPr>
        <w:t>E. 3</w:t>
      </w:r>
    </w:p>
    <w:p>
      <w:r>
        <w:t>Hingegen stellt sich die Frage, ob die Beschwerde, soweit damit geltend gemacht wird, das Grundbuchamt hätte die Anmeldung des Eigentumsübergangs bereits unter dem Datum des 6. März 1970 im Tagebuch eintragen oder wenigstens im Sinne von Art. 966 Abs. 2 ZGB vorläufig vormerken sollen, nicht verspätet ist. Nach Art. 5 Abs. 1 lit. c des Bundesgesetzes über das Verwaltungsverfahren und Art. 97 Abs. 2 OG hätte die Weigerung des Grundbuchamtes, auf das Gesuch des Beschwerdeführers hin tätig zu werden, als selbständig anfechtbare BGE 97 I 268 S. 273 Verfügung zu gelten. Da eine Anfechtung innert Frist nicht erfolgte, wäre die Beschwerde in diesem Punkt grundsätzlich als verspätet zu betrachten. Nun sieht jedoch Art. 104 GBV ausdrücklich vor, gegen die Weigerung des Grundbuchverwalters, eine Anmeldung entgegenzunehmen, könne ohne Einhaltung einer besondern Frist Beschwerde geführt werden. Diese den sonst geltenden Grundsätzen vorgehende Spezialbestimmung beruht auf der in Art. 24 GBV enthaltenen Regelung, nach welcher der Anmeldende einen Rechtsanspruch auf förmliche Abweisung seiner Anmeldung besitzt, sofern diese den gesetzlichen Anforderungen nicht entspricht (vgl. BGE 56 I 199 ; AUER, Die Prüfungspflicht des Grundbuchverwalters nach schweizerischem Recht, S. 53; ANDERMATT, Die grundbuchliche Anmeldung nach schweizerischem Recht, S. 206; WESPI, Die Beschwerde in Grundbuchsachen, S. 68/69). Auf die Beschwerde wäre somit unter dem Gesichtspunkt ihrer Rechtzeitigkeit an sich einzutreten, soweit damit gerügt wird, dass das Grundbuchamt die Anmeldung am 6. März 1970 nicht entgegengenommen und keinen förmlichen Entscheid darüber gefällt habe. Nachdem jedoch das Grundbuchamt am 12. März 1970 eine Verfügung über die inzwischen vervollständigte Anmeldung getroffen und diese abgewiesen hat, ist eine Aufsichtsbeschwerde gemäss Art. 104 GBV überflüssig geworden; denn der Beschwerdeführer kann nicht auf dem Wege einer unbefristeten Beschwerde im Sinne von Art. 104 GBV beantragen, die gewünschte Eintragung sei im Grundbuch auf einen Zeitpunkt hin vorzunehmen oder wenigstens vorläufig vorzumerken, der vor der Entgegennahme seiner - in der Folge abgewiesenen - Anmeldung durch das Grundbuchamt liegt. In diesem Sinne ist an der vom Bundesrat und vom Bundesgericht vertretenen Auffassung festzuhalten, dass die allgemeine Aufsichtsbeschwerde gemäss Art. 104 GBV nicht mit der speziellen Beschwerde des Art. 103 GBV verbunden werden kann (ZBGR 14 S. 272 f. N. 78 = SJZ 14 S. 176 Ziff. 142; BGE 85 I 167 ; vgl. die von WESPI an dieser Praxis geübte Kritik, a.a.O. S. 64 f.). Wenn der Beschwerdeführer die Nichtanhandnahme der am 6. März 1970 erfolglos versuchten Anmeldung als ungerechtfertigt betrachtet, ist er auf die Möglichkeit einer Verantwortlichkeits- und Schadenersatzklage gegen den zuständigen Grundbuchverwalter zu verweisen, zu deren Behandlung allein die Gerichte zuständig sind (ZBGR BGE 97 I 268 S. 274 14 S. 273 = SJZ 14 S. 176 Ziff. 142). Auf die Beschwerde ist daher in diesem Punkt nicht einzutreten. Es mag im übrigen beigefügt werden, dass die Voraussetzungen für die Eintragung des Eigentumsübergangs im Grundbuch am 6. März 1970 offensichtlich noch nicht erfüllt waren, nachdem insbesondere die Bewilligung der kantonalen Landwirtschaftsdirektion für die Veräusserung der Grundstücke vor Ablauf der Sperrfrist des Art. 218 OR damals noch ausstand; sie datiert erst vom 11. März 1970. Ein genügender Ausweis über den Rechtsgrund für die Eintragung im Sinne von Art. 965 ZGB lag somit noch nicht vor.</w:t>
      </w:r>
    </w:p>
    <w:p>
      <w:r>
        <w:rPr>
          <w:b/>
        </w:rPr>
        <w:t>E. 4</w:t>
      </w:r>
    </w:p>
    <w:p>
      <w:r>
        <w:t>Was die Abweisung der vom Grundbuchamt am 12. März 1970 entgegengenommenen Anmeldung anbetrifft, ist streitig, ob die dem Beschwerdeführer im Kaufsrechtsvertrag erteilte Ermächtigung zur Grundbuchanmeldung über den - am 7. März 1970 eingetretenen - Tod des Kaufsrechtsgebers hinaus gültig war. In der Literatur ist vereinzelt die Auffassung vertreten worden, dass eine Vollmacht über den Tod des Vollmachtgebers hinaus im Grundbuchverkehr überhaupt als unzulässig zu betrachten sei (NUSSBAUM, Beiträge zum Notariats- und Grundbuchrecht, ZBGR 33 (1952) S. 108 ff.). Das Bundesgericht hat diese Frage bisher noch nie entschieden. Sie kann auch hier offen gelassen werden, wenn mit dem Grundbuchamt Sissach und der kantonalen Aufsichtsbehörde angenommen wird, dass die dem Beschwerdeführer im Kaufsrechtsvertrag erteilte Vollmacht mit dem Tode von F. Singeisen erloschen ist. Sollte nämlich eine Vollmacht über den Tod des Vollmachtgebers hinaus im Grundbuchverkehr grundsätzlich zulässig sein, stellte sich hier die weitere Frage, ob eine solche Vollmacht ausdrücklich als vererblich gekennzeichnet sein müsse oder ob sich ihre Weitergeltung über den Tod des Vollmachtgebers hinaus auch aus der Natur des Geschäftes ergeben könne, wie der Beschwerdeführer unter Hinweis auf Art. 35 Abs. 1 OR behauptet. Die Übertragung dieser obligationenrechtlichen Regel auf das Grundbuchrecht ist deshalb nicht selbstverständlich, weil nicht ohne weiteres ersichtlich ist, wie in einem solchen Fall der gemäss Art. 965 Abs. 2 ZGB erforderliche Nachweis geleistet werden soll, dass der Anmeldende von der nach Massgabe des Grundbuches verfügungsberechtigten Person eine (über deren Tod hinaus gültige) Vollmacht erhalten hat. Diese Frage grundsätzlicher BGE 97 I 268 S. 275 Natur braucht aber ebenfalls nicht entschieden zu werden, wenn mit den kantonalen Instanzen davon auszugehen ist, dass sich die Fortdauer der von F. Singeisen erteilten Vollmacht über dessen Tod hinaus aus der Natur des betreffenden Geschäftes gar nicht ableiten lasse. Aus der Natur des Geschäftes lässt sich auf den Fortbestand einer Vollmacht schliessen, wenn diese in einem Betrieb oder Gewerbe erteilt ist, welches durch den Tod des Vollmachtgebers keine sofortige Unterbrechung erleidet, oder wenn es sich um Geschäfte handelt, die nach dem Tod des Vollmachtgebers zu einem vorläufigen Abschluss gebracht werden müssen (VON TUHR/SIEGWART, Allgemeiner Teil des schweizerischen Obligationenrechts, I. Halbband, S. 321). Das gleiche gilt, wenn eine Unterbrechung der Geschäftsführung dem Vollmachtgeber oder seinen Erben zum Schaden gereichen würde und sie selbst nicht rechtzeitig verfügen können (BECKER, 2. Aufl., N. 5 zu Art. 35 OR ; MÜLLER, Vererbliche Vollmacht, SJZ 43 (1947) S. 317). Danach sind für die Annahme der Vererblichkeit einer Vollmacht grundsätzlich die Interessen des Vollmachtgebers und seiner Erben massgebend. Diese Betrachtungsweise erscheint als gerechtfertigt, wenn man berücksichtigt, dass eine Vollmacht einseitig auf dem Willen des Vollmachtgebers beruht (vgl. VON TUHR/SIEGWART, a.a.O., S. 309) und daher gemäss Art. 34 Abs. 1 OR jederzeit widerrufen werden kann (und zwar nach Art. 34 Abs. 2 OR selbst bei zum voraus erklärtem Verzicht auf dieses Recht). Demnach ist Zurückhaltung am Platz, auf die Vererblichkeit einer Vollmacht zu schliessen, wenn im Interesse des Vertreters Verfügungen getroffen werden sollen, die unwiderruflich in die Rechtsverhältnisse der Erben eingreifen (BÖCKLI, Die vererbliche Vollmacht, SJZ 19 S. 145 f.). Diese Voraussetzung ist hier erfüllt. Von der in erster Linie massgebenden Interessenlage des Vollmachtgebers und seiner Erben aus betrachtet ist daher die Vererblichkeit der Vollmacht auf Grund der Natur des Geschäftes zu verneinen. Selbst wenn man aber vor allem die Interessenlage auf Seiten des Vertreters berücksichtigen wollte, könnte nicht gesagt werden, das der Bevollmächtigung zugrunde liegende Rechtsverhältnis, d.h. der Kaufsrechtsvertrag, spreche zwingend für die Fortdauer der Vollmacht über den Tod des Vollmachtgebers hinaus. Das dem Beschwerdeführer eingeräumte Kaufsrecht war zeitlich nicht begrenzt; es dauerte denn auch mehrere BGE 97 I 268 S. 276 Jahre, bis es ausgeübt wurde. Es handelte sich somit um ein auf längere Sicht eingegangenes Rechtsgeschäft, mit dessen Verwirklichung vor dem Ableben des Kaufsrechtsgebers in keiner Weise zum voraus gerechnet werden konnte. Unter diesen Umständen hätte die Vererblichkeit der Vollmacht ausdrücklich vorgesehen werden müssen, wenn sie von den Vertragspartnern wirklich beabsichtigt gewesen wäre. Ergibt sich jedoch aus der Natur des Geschäftes nicht eindeutig, dass die Vollmacht den Tod des Vollmachtgebers überdauern sollte, ist die Beschwerde abzuweisen, ohne dass näher geprüft werden müsste, ob es eine vererbliche Vollmacht im Verkehr mit dem Grundbuchamt überhaupt gibt, und wenn ja, ob nicht eine solche Vollmacht die Weitergeltung nach dem Tode des Vollmachtgebers ausdrücklich vorsehen müsste.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